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94A144" w14:textId="77777777" w:rsidR="00BE0ED0" w:rsidRDefault="00BE0ED0" w:rsidP="00BE0ED0">
      <w:pPr>
        <w:pStyle w:val="Titolo1"/>
        <w:spacing w:before="76"/>
        <w:ind w:left="4223" w:right="1947"/>
      </w:pPr>
      <w:r>
        <w:rPr>
          <w:i/>
          <w:iCs/>
          <w:noProof/>
          <w:lang w:eastAsia="it-IT"/>
        </w:rPr>
        <w:drawing>
          <wp:inline distT="0" distB="0" distL="0" distR="0" wp14:anchorId="66A0B335" wp14:editId="3E07DA1C">
            <wp:extent cx="806450" cy="1409700"/>
            <wp:effectExtent l="0" t="0" r="0" b="0"/>
            <wp:docPr id="3" name="Immagine 3" descr="Val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lv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6450" cy="1409700"/>
                    </a:xfrm>
                    <a:prstGeom prst="rect">
                      <a:avLst/>
                    </a:prstGeom>
                    <a:noFill/>
                    <a:ln>
                      <a:noFill/>
                    </a:ln>
                  </pic:spPr>
                </pic:pic>
              </a:graphicData>
            </a:graphic>
          </wp:inline>
        </w:drawing>
      </w:r>
    </w:p>
    <w:p w14:paraId="456C60F1" w14:textId="035E35C5" w:rsidR="007639FD" w:rsidRDefault="00BE0ED0" w:rsidP="00BE0ED0">
      <w:pPr>
        <w:pStyle w:val="Titolo1"/>
        <w:spacing w:before="76"/>
        <w:ind w:right="1947"/>
      </w:pPr>
      <w:r>
        <w:t xml:space="preserve">                                                   </w:t>
      </w:r>
      <w:r w:rsidR="00B57FD1">
        <w:t xml:space="preserve">COMUNE DI </w:t>
      </w:r>
      <w:r>
        <w:t>VALVA</w:t>
      </w:r>
    </w:p>
    <w:p w14:paraId="443CEBEF" w14:textId="77777777" w:rsidR="00BE0ED0" w:rsidRDefault="00BE0ED0" w:rsidP="00BE0ED0">
      <w:pPr>
        <w:ind w:right="2770"/>
        <w:rPr>
          <w:sz w:val="24"/>
        </w:rPr>
      </w:pPr>
      <w:r>
        <w:rPr>
          <w:sz w:val="24"/>
        </w:rPr>
        <w:t xml:space="preserve">                                                        </w:t>
      </w:r>
      <w:r w:rsidR="00B57FD1">
        <w:rPr>
          <w:sz w:val="24"/>
        </w:rPr>
        <w:t xml:space="preserve">Provincia di Salerno </w:t>
      </w:r>
    </w:p>
    <w:p w14:paraId="14FC6C1C" w14:textId="648D9954" w:rsidR="00BE0ED0" w:rsidRDefault="00BE0ED0" w:rsidP="00BE0ED0">
      <w:pPr>
        <w:ind w:right="2770"/>
        <w:rPr>
          <w:sz w:val="24"/>
        </w:rPr>
      </w:pPr>
      <w:r>
        <w:rPr>
          <w:sz w:val="24"/>
        </w:rPr>
        <w:t xml:space="preserve">                                                    Via XXIII novembre 1980</w:t>
      </w:r>
    </w:p>
    <w:p w14:paraId="69CFC435" w14:textId="2BEFA7CD" w:rsidR="007639FD" w:rsidRDefault="00B57FD1" w:rsidP="00BE0ED0">
      <w:pPr>
        <w:ind w:right="2770"/>
        <w:rPr>
          <w:sz w:val="24"/>
        </w:rPr>
      </w:pPr>
      <w:r>
        <w:rPr>
          <w:b/>
          <w:sz w:val="24"/>
        </w:rPr>
        <w:t xml:space="preserve"> </w:t>
      </w:r>
      <w:r w:rsidR="00BE0ED0">
        <w:rPr>
          <w:b/>
          <w:sz w:val="24"/>
        </w:rPr>
        <w:t xml:space="preserve">                                             </w:t>
      </w:r>
      <w:r>
        <w:rPr>
          <w:sz w:val="24"/>
        </w:rPr>
        <w:t xml:space="preserve">84020 – </w:t>
      </w:r>
      <w:r w:rsidR="00BE0ED0">
        <w:rPr>
          <w:sz w:val="24"/>
        </w:rPr>
        <w:t>VALVA</w:t>
      </w:r>
      <w:r>
        <w:rPr>
          <w:sz w:val="24"/>
        </w:rPr>
        <w:t xml:space="preserve"> N. </w:t>
      </w:r>
      <w:proofErr w:type="spellStart"/>
      <w:r>
        <w:rPr>
          <w:sz w:val="24"/>
        </w:rPr>
        <w:t>Tel</w:t>
      </w:r>
      <w:proofErr w:type="spellEnd"/>
      <w:r>
        <w:rPr>
          <w:sz w:val="24"/>
        </w:rPr>
        <w:t xml:space="preserve"> 0828/</w:t>
      </w:r>
      <w:r w:rsidR="00BE0ED0">
        <w:rPr>
          <w:sz w:val="24"/>
        </w:rPr>
        <w:t>796001</w:t>
      </w:r>
    </w:p>
    <w:p w14:paraId="62A70A1B" w14:textId="5369001D" w:rsidR="007639FD" w:rsidRDefault="00BE0ED0" w:rsidP="00BE0ED0">
      <w:pPr>
        <w:pStyle w:val="Corpotesto"/>
        <w:ind w:right="1947"/>
      </w:pPr>
      <w:r>
        <w:t xml:space="preserve">                                           </w:t>
      </w:r>
      <w:hyperlink r:id="rId7">
        <w:proofErr w:type="spellStart"/>
        <w:r>
          <w:t>Pec:ragioneria@pec.comune.valva.sa.it</w:t>
        </w:r>
        <w:proofErr w:type="spellEnd"/>
      </w:hyperlink>
      <w:r w:rsidR="00B57FD1">
        <w:t xml:space="preserve"> </w:t>
      </w:r>
      <w:r>
        <w:t xml:space="preserve">                          </w:t>
      </w:r>
    </w:p>
    <w:p w14:paraId="329E5CA5" w14:textId="50932C97" w:rsidR="007639FD" w:rsidRPr="00BE0ED0" w:rsidRDefault="00BE0ED0" w:rsidP="00BE0ED0">
      <w:pPr>
        <w:ind w:right="2770"/>
        <w:jc w:val="center"/>
        <w:rPr>
          <w:sz w:val="24"/>
        </w:rPr>
      </w:pPr>
      <w:r>
        <w:rPr>
          <w:sz w:val="24"/>
        </w:rPr>
        <w:t xml:space="preserve">                                  </w:t>
      </w:r>
      <w:r w:rsidR="00165330">
        <w:rPr>
          <w:sz w:val="24"/>
        </w:rPr>
        <w:t>e-m</w:t>
      </w:r>
      <w:r w:rsidRPr="00BE0ED0">
        <w:rPr>
          <w:sz w:val="24"/>
        </w:rPr>
        <w:t>ail: rag.valva@libero.it</w:t>
      </w:r>
    </w:p>
    <w:p w14:paraId="005504E1" w14:textId="77777777" w:rsidR="007639FD" w:rsidRPr="00BE0ED0" w:rsidRDefault="007639FD" w:rsidP="00BE0ED0">
      <w:pPr>
        <w:ind w:right="2770"/>
        <w:jc w:val="center"/>
        <w:rPr>
          <w:sz w:val="24"/>
        </w:rPr>
      </w:pPr>
    </w:p>
    <w:p w14:paraId="51C7D6AE" w14:textId="77777777" w:rsidR="007639FD" w:rsidRDefault="00B57FD1">
      <w:pPr>
        <w:pStyle w:val="Titolo1"/>
        <w:spacing w:before="229"/>
        <w:ind w:left="0" w:right="112"/>
        <w:jc w:val="right"/>
      </w:pPr>
      <w:r>
        <w:t>Allegato A)</w:t>
      </w:r>
    </w:p>
    <w:p w14:paraId="7A83B53D" w14:textId="77777777" w:rsidR="007639FD" w:rsidRDefault="007639FD">
      <w:pPr>
        <w:pStyle w:val="Corpotesto"/>
        <w:rPr>
          <w:b/>
          <w:sz w:val="26"/>
        </w:rPr>
      </w:pPr>
    </w:p>
    <w:p w14:paraId="29CCD1CF" w14:textId="77777777" w:rsidR="007639FD" w:rsidRDefault="007639FD">
      <w:pPr>
        <w:pStyle w:val="Corpotesto"/>
        <w:rPr>
          <w:b/>
          <w:sz w:val="22"/>
        </w:rPr>
      </w:pPr>
    </w:p>
    <w:p w14:paraId="3199B45D" w14:textId="0846B9BA" w:rsidR="007639FD" w:rsidRDefault="00B57FD1">
      <w:pPr>
        <w:ind w:left="212" w:right="109"/>
        <w:jc w:val="both"/>
        <w:rPr>
          <w:b/>
          <w:sz w:val="24"/>
        </w:rPr>
      </w:pPr>
      <w:r w:rsidRPr="00BE0ED0">
        <w:rPr>
          <w:b/>
          <w:sz w:val="24"/>
        </w:rPr>
        <w:t xml:space="preserve">BANDO DI GARA MEDIANTE PROCEDURA APERTA SUL MEPA PER AFFIDAMENTO SERVIZIO DI TESORERIA DEL COMUNE DI </w:t>
      </w:r>
      <w:r w:rsidR="00BE0ED0" w:rsidRPr="00BE0ED0">
        <w:rPr>
          <w:b/>
          <w:sz w:val="24"/>
        </w:rPr>
        <w:t>VALVA</w:t>
      </w:r>
      <w:r w:rsidRPr="00BE0ED0">
        <w:rPr>
          <w:b/>
          <w:sz w:val="24"/>
        </w:rPr>
        <w:t xml:space="preserve"> - PERIODO 01.0</w:t>
      </w:r>
      <w:r w:rsidR="00BE0ED0" w:rsidRPr="00BE0ED0">
        <w:rPr>
          <w:b/>
          <w:sz w:val="24"/>
        </w:rPr>
        <w:t>7</w:t>
      </w:r>
      <w:r w:rsidRPr="00BE0ED0">
        <w:rPr>
          <w:b/>
          <w:sz w:val="24"/>
        </w:rPr>
        <w:t>.2022 - 3</w:t>
      </w:r>
      <w:r w:rsidR="00BE0ED0" w:rsidRPr="00BE0ED0">
        <w:rPr>
          <w:b/>
          <w:sz w:val="24"/>
        </w:rPr>
        <w:t>0</w:t>
      </w:r>
      <w:r w:rsidRPr="00BE0ED0">
        <w:rPr>
          <w:b/>
          <w:sz w:val="24"/>
        </w:rPr>
        <w:t>.</w:t>
      </w:r>
      <w:r w:rsidR="00BE0ED0" w:rsidRPr="00BE0ED0">
        <w:rPr>
          <w:b/>
          <w:sz w:val="24"/>
        </w:rPr>
        <w:t>06</w:t>
      </w:r>
      <w:r w:rsidRPr="00BE0ED0">
        <w:rPr>
          <w:b/>
          <w:sz w:val="24"/>
        </w:rPr>
        <w:t>.202</w:t>
      </w:r>
      <w:r w:rsidR="00BE0ED0" w:rsidRPr="00BE0ED0">
        <w:rPr>
          <w:b/>
          <w:sz w:val="24"/>
        </w:rPr>
        <w:t>7</w:t>
      </w:r>
      <w:r w:rsidR="007C2D59">
        <w:rPr>
          <w:b/>
          <w:sz w:val="24"/>
        </w:rPr>
        <w:t xml:space="preserve">. CIG </w:t>
      </w:r>
      <w:r w:rsidR="007C2D59" w:rsidRPr="007C2D59">
        <w:rPr>
          <w:b/>
          <w:sz w:val="24"/>
        </w:rPr>
        <w:t>ZED368A5FE</w:t>
      </w:r>
    </w:p>
    <w:p w14:paraId="70A9162B" w14:textId="77777777" w:rsidR="007639FD" w:rsidRPr="007C2D59" w:rsidRDefault="007639FD">
      <w:pPr>
        <w:pStyle w:val="Corpotesto"/>
        <w:spacing w:before="11"/>
        <w:rPr>
          <w:b/>
          <w:szCs w:val="22"/>
        </w:rPr>
      </w:pPr>
      <w:bookmarkStart w:id="0" w:name="_GoBack"/>
      <w:bookmarkEnd w:id="0"/>
    </w:p>
    <w:p w14:paraId="21C46D47" w14:textId="5BE060D4" w:rsidR="007639FD" w:rsidRDefault="00B57FD1">
      <w:pPr>
        <w:pStyle w:val="Corpotesto"/>
        <w:ind w:left="212" w:right="112"/>
        <w:jc w:val="both"/>
      </w:pPr>
      <w:r>
        <w:t xml:space="preserve">In esecuzione alla determinazione del responsabile del servizio finanziario del Comune di </w:t>
      </w:r>
      <w:r w:rsidR="00BE0ED0">
        <w:t>Valva</w:t>
      </w:r>
      <w:r>
        <w:t xml:space="preserve"> n</w:t>
      </w:r>
      <w:r w:rsidR="00BE0ED0" w:rsidRPr="00BE0ED0">
        <w:rPr>
          <w:highlight w:val="yellow"/>
        </w:rPr>
        <w:t>…..</w:t>
      </w:r>
      <w:r>
        <w:t xml:space="preserve"> del</w:t>
      </w:r>
      <w:r w:rsidR="001B0BDC" w:rsidRPr="001B0BDC">
        <w:rPr>
          <w:highlight w:val="yellow"/>
        </w:rPr>
        <w:t>……..</w:t>
      </w:r>
      <w:r>
        <w:t xml:space="preserve"> questo Comune indice gara da esperirsi ai sensi del D.Lgs.50/2016, quale appalto di servizi mediante procedura aperta, per l’affidamento del servizio di Tesoreria Comunale per il periodo 01.0</w:t>
      </w:r>
      <w:r w:rsidR="001B0BDC">
        <w:t>7</w:t>
      </w:r>
      <w:r>
        <w:t>.2022 - 3</w:t>
      </w:r>
      <w:r w:rsidR="001B0BDC">
        <w:t>0</w:t>
      </w:r>
      <w:r>
        <w:t>.</w:t>
      </w:r>
      <w:r w:rsidR="00165330">
        <w:t>06</w:t>
      </w:r>
      <w:r>
        <w:t>.202</w:t>
      </w:r>
      <w:r w:rsidR="00165330">
        <w:t>7</w:t>
      </w:r>
      <w:r>
        <w:t>.</w:t>
      </w:r>
    </w:p>
    <w:p w14:paraId="07A107CD" w14:textId="77777777" w:rsidR="007639FD" w:rsidRDefault="007639FD">
      <w:pPr>
        <w:pStyle w:val="Corpotesto"/>
      </w:pPr>
    </w:p>
    <w:p w14:paraId="47B4F021" w14:textId="77777777" w:rsidR="007639FD" w:rsidRPr="00165330" w:rsidRDefault="00B57FD1">
      <w:pPr>
        <w:pStyle w:val="Titolo1"/>
        <w:jc w:val="both"/>
      </w:pPr>
      <w:r w:rsidRPr="00165330">
        <w:t>ENTE APPALTANTE</w:t>
      </w:r>
    </w:p>
    <w:p w14:paraId="036D05B9" w14:textId="33885F9A" w:rsidR="007639FD" w:rsidRPr="00165330" w:rsidRDefault="00B57FD1">
      <w:pPr>
        <w:pStyle w:val="Corpotesto"/>
        <w:ind w:left="212" w:right="2299"/>
      </w:pPr>
      <w:r w:rsidRPr="00165330">
        <w:t xml:space="preserve">Comune di </w:t>
      </w:r>
      <w:r w:rsidR="00BE0ED0" w:rsidRPr="00165330">
        <w:t>Valva</w:t>
      </w:r>
      <w:r w:rsidRPr="00165330">
        <w:t xml:space="preserve"> </w:t>
      </w:r>
      <w:r w:rsidR="00165330">
        <w:t>–</w:t>
      </w:r>
      <w:r w:rsidRPr="00165330">
        <w:t xml:space="preserve"> </w:t>
      </w:r>
      <w:r w:rsidR="00165330">
        <w:t>Via XXIII Novembre 1980</w:t>
      </w:r>
      <w:r w:rsidRPr="00165330">
        <w:t xml:space="preserve"> – 84020 - </w:t>
      </w:r>
      <w:r w:rsidR="00BE0ED0" w:rsidRPr="00165330">
        <w:t>VALVA</w:t>
      </w:r>
      <w:r w:rsidRPr="00165330">
        <w:t xml:space="preserve"> (SA). Telefono: 0828-</w:t>
      </w:r>
      <w:r w:rsidR="00165330">
        <w:t>796001</w:t>
      </w:r>
    </w:p>
    <w:p w14:paraId="3453B9DC" w14:textId="18EDDCAD" w:rsidR="00165330" w:rsidRDefault="00165330" w:rsidP="00165330">
      <w:pPr>
        <w:pStyle w:val="Corpotesto"/>
        <w:ind w:right="1947"/>
      </w:pPr>
      <w:r>
        <w:t xml:space="preserve">    </w:t>
      </w:r>
      <w:hyperlink r:id="rId8">
        <w:proofErr w:type="spellStart"/>
        <w:r>
          <w:t>Pec:ragioneria@pec.comune.valva.sa.it</w:t>
        </w:r>
        <w:proofErr w:type="spellEnd"/>
      </w:hyperlink>
      <w:r>
        <w:t xml:space="preserve">                           </w:t>
      </w:r>
    </w:p>
    <w:p w14:paraId="0B0E05A4" w14:textId="42A1D9B4" w:rsidR="00165330" w:rsidRPr="00BE0ED0" w:rsidRDefault="00165330" w:rsidP="00165330">
      <w:pPr>
        <w:ind w:right="2770"/>
        <w:rPr>
          <w:sz w:val="24"/>
        </w:rPr>
      </w:pPr>
      <w:r>
        <w:rPr>
          <w:sz w:val="24"/>
        </w:rPr>
        <w:t xml:space="preserve">    e-m</w:t>
      </w:r>
      <w:r w:rsidRPr="00BE0ED0">
        <w:rPr>
          <w:sz w:val="24"/>
        </w:rPr>
        <w:t>ail: rag.valva@libero.it</w:t>
      </w:r>
    </w:p>
    <w:p w14:paraId="5FCC63E5" w14:textId="78378CEB" w:rsidR="007639FD" w:rsidRDefault="00165330">
      <w:pPr>
        <w:pStyle w:val="Corpotesto"/>
        <w:ind w:left="212" w:right="5655"/>
      </w:pPr>
      <w:r>
        <w:t xml:space="preserve"> </w:t>
      </w:r>
      <w:r w:rsidR="00B57FD1" w:rsidRPr="00165330">
        <w:t>Sito web:</w:t>
      </w:r>
      <w:r w:rsidR="00B57FD1" w:rsidRPr="00165330">
        <w:rPr>
          <w:color w:val="0000FF"/>
          <w:spacing w:val="-4"/>
        </w:rPr>
        <w:t xml:space="preserve"> </w:t>
      </w:r>
      <w:hyperlink r:id="rId9" w:history="1">
        <w:r w:rsidRPr="00165330">
          <w:rPr>
            <w:rStyle w:val="Collegamentoipertestuale"/>
            <w:u w:color="0000FF"/>
          </w:rPr>
          <w:t>www.comune.valva.sa.it</w:t>
        </w:r>
      </w:hyperlink>
    </w:p>
    <w:p w14:paraId="3F212182" w14:textId="77777777" w:rsidR="007639FD" w:rsidRDefault="007639FD">
      <w:pPr>
        <w:pStyle w:val="Corpotesto"/>
        <w:spacing w:before="10"/>
        <w:rPr>
          <w:sz w:val="15"/>
        </w:rPr>
      </w:pPr>
    </w:p>
    <w:p w14:paraId="750F3F7B" w14:textId="77777777" w:rsidR="007639FD" w:rsidRDefault="00B57FD1">
      <w:pPr>
        <w:pStyle w:val="Titolo1"/>
        <w:spacing w:before="93"/>
      </w:pPr>
      <w:r>
        <w:t>OGGETTO DELL’APPALTO</w:t>
      </w:r>
    </w:p>
    <w:p w14:paraId="650347EB" w14:textId="25788777" w:rsidR="007639FD" w:rsidRDefault="00B57FD1">
      <w:pPr>
        <w:pStyle w:val="Corpotesto"/>
        <w:ind w:left="212" w:right="108"/>
        <w:jc w:val="both"/>
      </w:pPr>
      <w:r>
        <w:t>Affidamento servizio di tesoreria comunale dal 01.0</w:t>
      </w:r>
      <w:r w:rsidR="000F58D5">
        <w:t>7</w:t>
      </w:r>
      <w:r>
        <w:t>.2022 al 3</w:t>
      </w:r>
      <w:r w:rsidR="000F58D5">
        <w:t>0</w:t>
      </w:r>
      <w:r>
        <w:t>.</w:t>
      </w:r>
      <w:r w:rsidR="000F58D5">
        <w:t>07</w:t>
      </w:r>
      <w:r>
        <w:t>.202</w:t>
      </w:r>
      <w:r w:rsidR="000F58D5">
        <w:t>7</w:t>
      </w:r>
      <w:r>
        <w:t xml:space="preserve">, così come disciplinato </w:t>
      </w:r>
      <w:proofErr w:type="spellStart"/>
      <w:r>
        <w:t>D.Lgs</w:t>
      </w:r>
      <w:proofErr w:type="spellEnd"/>
      <w:r>
        <w:t xml:space="preserve"> 267/00 e dallo schema di convenzione approvato da deliberazione del Consiglio Comunale n. </w:t>
      </w:r>
      <w:r w:rsidR="000F58D5">
        <w:t>35</w:t>
      </w:r>
      <w:r>
        <w:t xml:space="preserve"> del 2</w:t>
      </w:r>
      <w:r w:rsidR="000F58D5">
        <w:t>8</w:t>
      </w:r>
      <w:r>
        <w:t>.1</w:t>
      </w:r>
      <w:r w:rsidR="000F58D5">
        <w:t>2</w:t>
      </w:r>
      <w:r>
        <w:t xml:space="preserve">.2021, comprendente il complesso delle operazioni inerenti la gestione finanziaria dell’Ente così come specificato dall’art. 209 del </w:t>
      </w:r>
      <w:proofErr w:type="spellStart"/>
      <w:r>
        <w:t>D.Lgs.</w:t>
      </w:r>
      <w:proofErr w:type="spellEnd"/>
      <w:r>
        <w:t xml:space="preserve"> 267/00.</w:t>
      </w:r>
    </w:p>
    <w:p w14:paraId="49EAF47D" w14:textId="77777777" w:rsidR="007639FD" w:rsidRDefault="00B57FD1">
      <w:pPr>
        <w:pStyle w:val="Corpotesto"/>
        <w:ind w:left="212"/>
        <w:jc w:val="both"/>
      </w:pPr>
      <w:r>
        <w:t>Concessione di servizi bancari e finanziari.</w:t>
      </w:r>
    </w:p>
    <w:p w14:paraId="55B22B63" w14:textId="77777777" w:rsidR="007639FD" w:rsidRDefault="00B57FD1">
      <w:pPr>
        <w:pStyle w:val="Corpotesto"/>
        <w:ind w:left="212"/>
        <w:jc w:val="both"/>
      </w:pPr>
      <w:r>
        <w:t>Categoria del servizio 06 - CPV 66600000-6 “Servizi di tesoreria”.</w:t>
      </w:r>
    </w:p>
    <w:p w14:paraId="2F3755D9" w14:textId="77777777" w:rsidR="007639FD" w:rsidRDefault="007639FD">
      <w:pPr>
        <w:pStyle w:val="Corpotesto"/>
        <w:spacing w:before="10"/>
        <w:rPr>
          <w:sz w:val="23"/>
        </w:rPr>
      </w:pPr>
    </w:p>
    <w:p w14:paraId="78E53A59" w14:textId="1B8BCBFD" w:rsidR="007639FD" w:rsidRDefault="00B57FD1">
      <w:pPr>
        <w:spacing w:before="1"/>
        <w:ind w:left="212"/>
        <w:rPr>
          <w:b/>
          <w:sz w:val="24"/>
        </w:rPr>
      </w:pPr>
      <w:r>
        <w:rPr>
          <w:b/>
          <w:sz w:val="24"/>
        </w:rPr>
        <w:t xml:space="preserve">DURATA DEL SERVIZIO: </w:t>
      </w:r>
      <w:r>
        <w:rPr>
          <w:sz w:val="24"/>
        </w:rPr>
        <w:t>dal 01.0</w:t>
      </w:r>
      <w:r w:rsidR="000F58D5">
        <w:rPr>
          <w:sz w:val="24"/>
        </w:rPr>
        <w:t>7</w:t>
      </w:r>
      <w:r>
        <w:rPr>
          <w:sz w:val="24"/>
        </w:rPr>
        <w:t>.2022 al 3</w:t>
      </w:r>
      <w:r w:rsidR="000F58D5">
        <w:rPr>
          <w:sz w:val="24"/>
        </w:rPr>
        <w:t>0</w:t>
      </w:r>
      <w:r>
        <w:rPr>
          <w:sz w:val="24"/>
        </w:rPr>
        <w:t>.</w:t>
      </w:r>
      <w:r w:rsidR="000F58D5">
        <w:rPr>
          <w:sz w:val="24"/>
        </w:rPr>
        <w:t>06</w:t>
      </w:r>
      <w:r>
        <w:rPr>
          <w:sz w:val="24"/>
        </w:rPr>
        <w:t>.202</w:t>
      </w:r>
      <w:r w:rsidR="000F58D5">
        <w:rPr>
          <w:sz w:val="24"/>
        </w:rPr>
        <w:t>7</w:t>
      </w:r>
      <w:r>
        <w:rPr>
          <w:b/>
          <w:sz w:val="24"/>
        </w:rPr>
        <w:t>.</w:t>
      </w:r>
    </w:p>
    <w:p w14:paraId="0CFC6458" w14:textId="77777777" w:rsidR="007639FD" w:rsidRDefault="00B57FD1">
      <w:pPr>
        <w:pStyle w:val="Corpotesto"/>
        <w:ind w:left="212" w:right="117"/>
        <w:jc w:val="both"/>
      </w:pPr>
      <w:r>
        <w:t>E’ prevista la facoltà di rinnovo, d’intesa fra le parti e per non più di una volta, qualora ricorrano i presupposti previsti dalla normativa e dalla convenzione per l’espletamento del servizio.</w:t>
      </w:r>
    </w:p>
    <w:p w14:paraId="49A228C2" w14:textId="77777777" w:rsidR="007639FD" w:rsidRDefault="007639FD">
      <w:pPr>
        <w:pStyle w:val="Corpotesto"/>
        <w:spacing w:before="10"/>
        <w:rPr>
          <w:sz w:val="23"/>
        </w:rPr>
      </w:pPr>
    </w:p>
    <w:p w14:paraId="6D027B6E" w14:textId="77777777" w:rsidR="007639FD" w:rsidRDefault="00B57FD1">
      <w:pPr>
        <w:pStyle w:val="Titolo1"/>
      </w:pPr>
      <w:r>
        <w:t>IMPORTO DELL’APPALTO</w:t>
      </w:r>
    </w:p>
    <w:p w14:paraId="13462CD1" w14:textId="43136465" w:rsidR="007639FD" w:rsidRDefault="00B57FD1">
      <w:pPr>
        <w:pStyle w:val="Corpotesto"/>
        <w:ind w:left="212" w:right="108"/>
        <w:jc w:val="both"/>
      </w:pPr>
      <w:r>
        <w:t>L’importo annuale a base d’asta è di € 3.000,00 + IVA. Il valore stimato dell’appalto viene conseguentemente indicato in € 15.000,00= (quindicimila/00), oneri fiscali esclusi</w:t>
      </w:r>
      <w:r w:rsidR="000F58D5">
        <w:t>.</w:t>
      </w:r>
    </w:p>
    <w:p w14:paraId="0631F92A" w14:textId="77777777" w:rsidR="007639FD" w:rsidRDefault="00B57FD1">
      <w:pPr>
        <w:pStyle w:val="Corpotesto"/>
        <w:ind w:left="212"/>
        <w:jc w:val="both"/>
      </w:pPr>
      <w:r>
        <w:t>Trattandosi di servizi di carattere intellettuale, per il presente affidamento:</w:t>
      </w:r>
    </w:p>
    <w:p w14:paraId="46306C51" w14:textId="77777777" w:rsidR="007639FD" w:rsidRDefault="007639FD">
      <w:pPr>
        <w:jc w:val="both"/>
        <w:sectPr w:rsidR="007639FD">
          <w:type w:val="continuous"/>
          <w:pgSz w:w="11900" w:h="16840"/>
          <w:pgMar w:top="1340" w:right="1020" w:bottom="280" w:left="920" w:header="720" w:footer="720" w:gutter="0"/>
          <w:cols w:space="720"/>
        </w:sectPr>
      </w:pPr>
    </w:p>
    <w:p w14:paraId="4AB831C6" w14:textId="77777777" w:rsidR="007639FD" w:rsidRDefault="00B57FD1">
      <w:pPr>
        <w:pStyle w:val="Paragrafoelenco"/>
        <w:numPr>
          <w:ilvl w:val="0"/>
          <w:numId w:val="3"/>
        </w:numPr>
        <w:tabs>
          <w:tab w:val="left" w:pos="921"/>
        </w:tabs>
        <w:spacing w:before="76"/>
        <w:ind w:right="118" w:hanging="360"/>
        <w:rPr>
          <w:sz w:val="24"/>
        </w:rPr>
      </w:pPr>
      <w:r>
        <w:rPr>
          <w:sz w:val="24"/>
        </w:rPr>
        <w:lastRenderedPageBreak/>
        <w:t>non sussistono potenzialmente rischi da interferenza di cui all’articolo 26, comma 3, del decreto legislativo 9 aprile 2008, n. 81 (tenuto conto che il servizio si svolge presso le sedi del tesoriere, senza sovrapposizione fisica e produttiva rispetto ad altre attività svolte dall’Ente o per conto dell’Ente) e conseguentemente l’importo per gli oneri per la sicurezza, non soggetti a ribasso, riferiti a rischi interferenziali è pari ad euro 0,00 (zero); non si rende necessaria, pertanto, la redazione del documento unico di valutazione dei rischi da interferenze</w:t>
      </w:r>
      <w:r>
        <w:rPr>
          <w:spacing w:val="-15"/>
          <w:sz w:val="24"/>
        </w:rPr>
        <w:t xml:space="preserve"> </w:t>
      </w:r>
      <w:r>
        <w:rPr>
          <w:sz w:val="24"/>
        </w:rPr>
        <w:t>(DUVRI);</w:t>
      </w:r>
    </w:p>
    <w:p w14:paraId="175A444F" w14:textId="77777777" w:rsidR="007639FD" w:rsidRDefault="00B57FD1">
      <w:pPr>
        <w:pStyle w:val="Paragrafoelenco"/>
        <w:numPr>
          <w:ilvl w:val="0"/>
          <w:numId w:val="3"/>
        </w:numPr>
        <w:tabs>
          <w:tab w:val="left" w:pos="921"/>
        </w:tabs>
        <w:ind w:right="118" w:hanging="360"/>
        <w:rPr>
          <w:sz w:val="24"/>
        </w:rPr>
      </w:pPr>
      <w:r>
        <w:rPr>
          <w:sz w:val="24"/>
        </w:rPr>
        <w:t>non rilevano i costi della manodopera, ai fini e per gli effetti dell’art. 95, comma 10, del decreto legislativo 18 aprile 2016, n. 50, come integrato dal decreto legislativo 19 aprile 2017 n.</w:t>
      </w:r>
      <w:r>
        <w:rPr>
          <w:spacing w:val="-4"/>
          <w:sz w:val="24"/>
        </w:rPr>
        <w:t xml:space="preserve"> </w:t>
      </w:r>
      <w:r>
        <w:rPr>
          <w:sz w:val="24"/>
        </w:rPr>
        <w:t>56.</w:t>
      </w:r>
    </w:p>
    <w:p w14:paraId="7CFB5A32" w14:textId="77777777" w:rsidR="007639FD" w:rsidRDefault="007639FD">
      <w:pPr>
        <w:pStyle w:val="Corpotesto"/>
        <w:spacing w:before="7"/>
        <w:rPr>
          <w:sz w:val="23"/>
        </w:rPr>
      </w:pPr>
    </w:p>
    <w:p w14:paraId="51C025A7" w14:textId="77777777" w:rsidR="007639FD" w:rsidRPr="00B57FD1" w:rsidRDefault="00B57FD1">
      <w:pPr>
        <w:pStyle w:val="Corpotesto"/>
        <w:ind w:left="212"/>
        <w:rPr>
          <w:b/>
          <w:bCs/>
        </w:rPr>
      </w:pPr>
      <w:r w:rsidRPr="00B57FD1">
        <w:rPr>
          <w:b/>
          <w:bCs/>
        </w:rPr>
        <w:t>SUBAPPALTO</w:t>
      </w:r>
    </w:p>
    <w:p w14:paraId="53714A50" w14:textId="77777777" w:rsidR="007639FD" w:rsidRDefault="00B57FD1">
      <w:pPr>
        <w:pStyle w:val="Corpotesto"/>
        <w:ind w:left="212"/>
        <w:jc w:val="both"/>
      </w:pPr>
      <w:r>
        <w:t>Non è ammesso il subappalto.</w:t>
      </w:r>
    </w:p>
    <w:p w14:paraId="3C3CC650" w14:textId="77777777" w:rsidR="007639FD" w:rsidRDefault="007639FD">
      <w:pPr>
        <w:pStyle w:val="Corpotesto"/>
      </w:pPr>
    </w:p>
    <w:p w14:paraId="0290D072" w14:textId="4BD3B178" w:rsidR="007639FD" w:rsidRDefault="00B57FD1">
      <w:pPr>
        <w:pStyle w:val="Corpotesto"/>
        <w:ind w:left="212" w:right="111"/>
        <w:jc w:val="both"/>
      </w:pPr>
      <w:r>
        <w:rPr>
          <w:b/>
        </w:rPr>
        <w:t xml:space="preserve">LUOGO DI ESECUZIONE: </w:t>
      </w:r>
      <w:r>
        <w:t xml:space="preserve">il Servizio di Tesoreria deve essere assicurato dal Tesoriere a mezzo di proprio sportello ubicato a non oltre </w:t>
      </w:r>
      <w:r w:rsidR="00002BFA">
        <w:t>10</w:t>
      </w:r>
      <w:r>
        <w:t xml:space="preserve"> chilometri dall’inizio del centro abitato di </w:t>
      </w:r>
      <w:r w:rsidR="00BE0ED0">
        <w:t>Valva</w:t>
      </w:r>
      <w:r>
        <w:t xml:space="preserve"> e da rendersi operativo prima dell’avvio del servizio medesimo (art. 2, c. 1 della convenzione).</w:t>
      </w:r>
    </w:p>
    <w:p w14:paraId="08994FAD" w14:textId="77777777" w:rsidR="007639FD" w:rsidRDefault="007639FD">
      <w:pPr>
        <w:pStyle w:val="Corpotesto"/>
        <w:spacing w:before="11"/>
        <w:rPr>
          <w:sz w:val="23"/>
        </w:rPr>
      </w:pPr>
    </w:p>
    <w:p w14:paraId="7C926468" w14:textId="77777777" w:rsidR="007639FD" w:rsidRDefault="00B57FD1">
      <w:pPr>
        <w:pStyle w:val="Titolo1"/>
      </w:pPr>
      <w:r>
        <w:t>CONDIZIONE DI PARTECIPAZIONE:</w:t>
      </w:r>
    </w:p>
    <w:p w14:paraId="1722E256" w14:textId="77777777" w:rsidR="007639FD" w:rsidRDefault="00B57FD1">
      <w:pPr>
        <w:ind w:left="212" w:right="119"/>
        <w:jc w:val="both"/>
        <w:rPr>
          <w:b/>
          <w:sz w:val="24"/>
        </w:rPr>
      </w:pPr>
      <w:r>
        <w:rPr>
          <w:b/>
          <w:sz w:val="24"/>
        </w:rPr>
        <w:t>A) Situazione generale degli operatori inclusi i requisiti relativi all’iscrizione nell’albo professionale o nel registro</w:t>
      </w:r>
      <w:r>
        <w:rPr>
          <w:b/>
          <w:spacing w:val="-2"/>
          <w:sz w:val="24"/>
        </w:rPr>
        <w:t xml:space="preserve"> </w:t>
      </w:r>
      <w:r>
        <w:rPr>
          <w:b/>
          <w:sz w:val="24"/>
        </w:rPr>
        <w:t>commerciale</w:t>
      </w:r>
    </w:p>
    <w:p w14:paraId="3051AB79" w14:textId="77777777" w:rsidR="007639FD" w:rsidRDefault="00B57FD1">
      <w:pPr>
        <w:pStyle w:val="Paragrafoelenco"/>
        <w:numPr>
          <w:ilvl w:val="0"/>
          <w:numId w:val="2"/>
        </w:numPr>
        <w:tabs>
          <w:tab w:val="left" w:pos="506"/>
        </w:tabs>
        <w:ind w:right="113" w:firstLine="0"/>
        <w:jc w:val="both"/>
        <w:rPr>
          <w:sz w:val="24"/>
        </w:rPr>
      </w:pPr>
      <w:r>
        <w:rPr>
          <w:sz w:val="24"/>
        </w:rPr>
        <w:t>iscrizione nel Registro delle imprese tenuto dalla CCIAA per attività coerenti con quelle oggetto della presente procedura di gara, ovvero all’Albo delle Società Cooperative di cui al DM 23/06/2004 istituito presso il Ministero delle attività produttive (per le banche di credito cooperativo, le banche popolari, gli istituti di cooperazione bancaria, costituiti anche in forma consortile) ovvero, nel caso di cooperative residenti in altri Stati membri, iscrizione presso analogo registro previsto dalla legislazione dello Stato di appartenenza. Il concorrente non stabilito in Italia ma in altro Stato Membro o in uno dei Paesi di cui all’art.83, comma 3 del D.Lgs.n.50/2016, presenta dichiarazione giurata o secondo le modalità vigenti nello Stato nel quale è</w:t>
      </w:r>
      <w:r>
        <w:rPr>
          <w:spacing w:val="-8"/>
          <w:sz w:val="24"/>
        </w:rPr>
        <w:t xml:space="preserve"> </w:t>
      </w:r>
      <w:r>
        <w:rPr>
          <w:sz w:val="24"/>
        </w:rPr>
        <w:t>stabilito;</w:t>
      </w:r>
    </w:p>
    <w:p w14:paraId="482C1D91" w14:textId="77777777" w:rsidR="007639FD" w:rsidRDefault="00B57FD1">
      <w:pPr>
        <w:pStyle w:val="Paragrafoelenco"/>
        <w:numPr>
          <w:ilvl w:val="0"/>
          <w:numId w:val="2"/>
        </w:numPr>
        <w:tabs>
          <w:tab w:val="left" w:pos="551"/>
        </w:tabs>
        <w:ind w:right="116" w:firstLine="0"/>
        <w:jc w:val="both"/>
        <w:rPr>
          <w:sz w:val="24"/>
        </w:rPr>
      </w:pPr>
      <w:r>
        <w:rPr>
          <w:sz w:val="24"/>
        </w:rPr>
        <w:t xml:space="preserve">autorizzazione allo svolgimento dell’attività bancaria di cui all’art. 10 del </w:t>
      </w:r>
      <w:proofErr w:type="spellStart"/>
      <w:r>
        <w:rPr>
          <w:sz w:val="24"/>
        </w:rPr>
        <w:t>D.Lgs.</w:t>
      </w:r>
      <w:proofErr w:type="spellEnd"/>
      <w:r>
        <w:rPr>
          <w:sz w:val="24"/>
        </w:rPr>
        <w:t xml:space="preserve"> 01 settembre 1993, n. 385 o abilitazione all’esercizio del servizio di tesoreria ai sensi dell’art.208, comma 1, lett. c) del</w:t>
      </w:r>
      <w:r>
        <w:rPr>
          <w:spacing w:val="-3"/>
          <w:sz w:val="24"/>
        </w:rPr>
        <w:t xml:space="preserve"> </w:t>
      </w:r>
      <w:r>
        <w:rPr>
          <w:sz w:val="24"/>
        </w:rPr>
        <w:t>D.Lgs.267/2000</w:t>
      </w:r>
    </w:p>
    <w:p w14:paraId="5F7730FF" w14:textId="77777777" w:rsidR="007639FD" w:rsidRDefault="00B57FD1">
      <w:pPr>
        <w:pStyle w:val="Paragrafoelenco"/>
        <w:numPr>
          <w:ilvl w:val="0"/>
          <w:numId w:val="1"/>
        </w:numPr>
        <w:tabs>
          <w:tab w:val="left" w:pos="518"/>
        </w:tabs>
        <w:ind w:right="120" w:firstLine="0"/>
        <w:jc w:val="both"/>
        <w:rPr>
          <w:sz w:val="24"/>
        </w:rPr>
      </w:pPr>
      <w:r>
        <w:rPr>
          <w:sz w:val="24"/>
        </w:rPr>
        <w:t>insussistenza di cause ostative ex art. 67 del decreto legislativo 6 settembre 2011, n. 159.</w:t>
      </w:r>
    </w:p>
    <w:p w14:paraId="7A9F80FF" w14:textId="77777777" w:rsidR="007639FD" w:rsidRDefault="00B57FD1">
      <w:pPr>
        <w:pStyle w:val="Paragrafoelenco"/>
        <w:numPr>
          <w:ilvl w:val="0"/>
          <w:numId w:val="1"/>
        </w:numPr>
        <w:tabs>
          <w:tab w:val="left" w:pos="494"/>
        </w:tabs>
        <w:ind w:left="493" w:hanging="282"/>
        <w:jc w:val="both"/>
        <w:rPr>
          <w:sz w:val="24"/>
        </w:rPr>
      </w:pPr>
      <w:r>
        <w:rPr>
          <w:sz w:val="24"/>
        </w:rPr>
        <w:t>essere in regola con le leggi 12 marzo 1999, n. 68 e 18 ottobre 2001, n.</w:t>
      </w:r>
      <w:r>
        <w:rPr>
          <w:spacing w:val="-22"/>
          <w:sz w:val="24"/>
        </w:rPr>
        <w:t xml:space="preserve"> </w:t>
      </w:r>
      <w:r>
        <w:rPr>
          <w:sz w:val="24"/>
        </w:rPr>
        <w:t>383;</w:t>
      </w:r>
    </w:p>
    <w:p w14:paraId="5424B916" w14:textId="77777777" w:rsidR="007639FD" w:rsidRDefault="00B57FD1">
      <w:pPr>
        <w:pStyle w:val="Paragrafoelenco"/>
        <w:numPr>
          <w:ilvl w:val="0"/>
          <w:numId w:val="1"/>
        </w:numPr>
        <w:tabs>
          <w:tab w:val="left" w:pos="494"/>
        </w:tabs>
        <w:ind w:left="493" w:hanging="282"/>
        <w:jc w:val="both"/>
        <w:rPr>
          <w:sz w:val="24"/>
        </w:rPr>
      </w:pPr>
      <w:r>
        <w:rPr>
          <w:sz w:val="24"/>
        </w:rPr>
        <w:t>possesso dei requisiti di capacità tecnica indicati nel disciplinare di</w:t>
      </w:r>
      <w:r>
        <w:rPr>
          <w:spacing w:val="-14"/>
          <w:sz w:val="24"/>
        </w:rPr>
        <w:t xml:space="preserve"> </w:t>
      </w:r>
      <w:r>
        <w:rPr>
          <w:sz w:val="24"/>
        </w:rPr>
        <w:t>gara;</w:t>
      </w:r>
    </w:p>
    <w:p w14:paraId="1FDD63FA" w14:textId="77777777" w:rsidR="007639FD" w:rsidRDefault="007639FD">
      <w:pPr>
        <w:pStyle w:val="Corpotesto"/>
        <w:spacing w:before="10"/>
        <w:rPr>
          <w:sz w:val="23"/>
        </w:rPr>
      </w:pPr>
    </w:p>
    <w:p w14:paraId="0B511F47" w14:textId="77777777" w:rsidR="007639FD" w:rsidRDefault="00B57FD1">
      <w:pPr>
        <w:pStyle w:val="Corpotesto"/>
        <w:ind w:left="212" w:right="114"/>
        <w:jc w:val="both"/>
      </w:pPr>
      <w:r>
        <w:rPr>
          <w:b/>
        </w:rPr>
        <w:t xml:space="preserve">PROCEDURA: </w:t>
      </w:r>
      <w:r>
        <w:t>procedura aperta con il criterio dell’offerta economicamente più vantaggiosa ai sensi dell‘art. 95 del D.Lgs.n.50/2016 e secondo i criteri indicati nel disciplinare di gara.</w:t>
      </w:r>
    </w:p>
    <w:p w14:paraId="422995C6" w14:textId="77777777" w:rsidR="007639FD" w:rsidRDefault="00B57FD1">
      <w:pPr>
        <w:pStyle w:val="Corpotesto"/>
        <w:spacing w:line="276" w:lineRule="exact"/>
        <w:ind w:left="212"/>
        <w:jc w:val="both"/>
      </w:pPr>
      <w:r>
        <w:t>Sono ammesse solo offerte in ribasso.</w:t>
      </w:r>
    </w:p>
    <w:p w14:paraId="5063A27F" w14:textId="77777777" w:rsidR="007639FD" w:rsidRDefault="00B57FD1">
      <w:pPr>
        <w:pStyle w:val="Corpotesto"/>
        <w:ind w:left="212" w:right="118"/>
        <w:jc w:val="both"/>
      </w:pPr>
      <w:r>
        <w:t>Non verrà esperita gara di miglioria né è consentita la presentazione di altra offerta in</w:t>
      </w:r>
      <w:r>
        <w:rPr>
          <w:spacing w:val="-35"/>
        </w:rPr>
        <w:t xml:space="preserve"> </w:t>
      </w:r>
      <w:r>
        <w:t>sede di</w:t>
      </w:r>
      <w:r>
        <w:rPr>
          <w:spacing w:val="-2"/>
        </w:rPr>
        <w:t xml:space="preserve"> </w:t>
      </w:r>
      <w:r>
        <w:t>gara.</w:t>
      </w:r>
    </w:p>
    <w:p w14:paraId="195DCC9D" w14:textId="77777777" w:rsidR="007639FD" w:rsidRDefault="007639FD">
      <w:pPr>
        <w:pStyle w:val="Corpotesto"/>
        <w:spacing w:before="11"/>
        <w:rPr>
          <w:sz w:val="23"/>
        </w:rPr>
      </w:pPr>
    </w:p>
    <w:p w14:paraId="3E7F5AC8" w14:textId="647D1E33" w:rsidR="007639FD" w:rsidRDefault="00B57FD1">
      <w:pPr>
        <w:ind w:left="212"/>
        <w:jc w:val="both"/>
        <w:rPr>
          <w:sz w:val="24"/>
        </w:rPr>
      </w:pPr>
      <w:r>
        <w:rPr>
          <w:b/>
          <w:sz w:val="24"/>
        </w:rPr>
        <w:t xml:space="preserve">Termine ultimo per il ricevimento delle offerte: </w:t>
      </w:r>
      <w:r>
        <w:rPr>
          <w:sz w:val="24"/>
        </w:rPr>
        <w:t>entro le ore 12 del giorno 2</w:t>
      </w:r>
      <w:r w:rsidR="004B43DA">
        <w:rPr>
          <w:sz w:val="24"/>
        </w:rPr>
        <w:t>0</w:t>
      </w:r>
      <w:r>
        <w:rPr>
          <w:sz w:val="24"/>
        </w:rPr>
        <w:t>/</w:t>
      </w:r>
      <w:r w:rsidR="004B43DA">
        <w:rPr>
          <w:sz w:val="24"/>
        </w:rPr>
        <w:t>06</w:t>
      </w:r>
      <w:r>
        <w:rPr>
          <w:sz w:val="24"/>
        </w:rPr>
        <w:t>/202</w:t>
      </w:r>
      <w:r w:rsidR="004B43DA">
        <w:rPr>
          <w:sz w:val="24"/>
        </w:rPr>
        <w:t>2</w:t>
      </w:r>
      <w:r>
        <w:rPr>
          <w:sz w:val="24"/>
        </w:rPr>
        <w:t>.</w:t>
      </w:r>
    </w:p>
    <w:p w14:paraId="36CA89E4" w14:textId="77777777" w:rsidR="007639FD" w:rsidRDefault="007639FD">
      <w:pPr>
        <w:pStyle w:val="Corpotesto"/>
      </w:pPr>
    </w:p>
    <w:p w14:paraId="1318C480" w14:textId="77777777" w:rsidR="007639FD" w:rsidRDefault="00B57FD1">
      <w:pPr>
        <w:ind w:left="212"/>
        <w:jc w:val="both"/>
        <w:rPr>
          <w:sz w:val="24"/>
        </w:rPr>
      </w:pPr>
      <w:r>
        <w:rPr>
          <w:b/>
          <w:sz w:val="24"/>
        </w:rPr>
        <w:t xml:space="preserve">Lingua utilizzabile nelle offerte: </w:t>
      </w:r>
      <w:r>
        <w:rPr>
          <w:sz w:val="24"/>
        </w:rPr>
        <w:t>italiano.</w:t>
      </w:r>
    </w:p>
    <w:p w14:paraId="38371FB8" w14:textId="77777777" w:rsidR="007639FD" w:rsidRDefault="007639FD">
      <w:pPr>
        <w:jc w:val="both"/>
        <w:rPr>
          <w:sz w:val="24"/>
        </w:rPr>
        <w:sectPr w:rsidR="007639FD">
          <w:pgSz w:w="11900" w:h="16840"/>
          <w:pgMar w:top="1340" w:right="1020" w:bottom="280" w:left="920" w:header="720" w:footer="720" w:gutter="0"/>
          <w:cols w:space="720"/>
        </w:sectPr>
      </w:pPr>
    </w:p>
    <w:p w14:paraId="35C898AE" w14:textId="77777777" w:rsidR="007639FD" w:rsidRDefault="00B57FD1">
      <w:pPr>
        <w:pStyle w:val="Titolo1"/>
        <w:spacing w:before="76"/>
        <w:ind w:right="109"/>
        <w:jc w:val="both"/>
        <w:rPr>
          <w:b w:val="0"/>
        </w:rPr>
      </w:pPr>
      <w:r>
        <w:lastRenderedPageBreak/>
        <w:t xml:space="preserve">Periodo minimo durante il quale l’offerente è vincolato dalla propria offerta: </w:t>
      </w:r>
      <w:r>
        <w:rPr>
          <w:b w:val="0"/>
        </w:rPr>
        <w:t>180 giorni.</w:t>
      </w:r>
    </w:p>
    <w:p w14:paraId="6B9625F2" w14:textId="77777777" w:rsidR="007639FD" w:rsidRDefault="007639FD">
      <w:pPr>
        <w:pStyle w:val="Corpotesto"/>
      </w:pPr>
    </w:p>
    <w:p w14:paraId="7A3AB3D7" w14:textId="77777777" w:rsidR="007639FD" w:rsidRDefault="00B57FD1">
      <w:pPr>
        <w:ind w:left="212"/>
        <w:jc w:val="both"/>
        <w:rPr>
          <w:sz w:val="24"/>
        </w:rPr>
      </w:pPr>
      <w:r>
        <w:rPr>
          <w:b/>
          <w:sz w:val="24"/>
        </w:rPr>
        <w:t xml:space="preserve">Data, ora e luogo del primo pubblico incanto: </w:t>
      </w:r>
      <w:r>
        <w:rPr>
          <w:sz w:val="24"/>
        </w:rPr>
        <w:t>la data e l’ora saranno comunicate nella</w:t>
      </w:r>
    </w:p>
    <w:p w14:paraId="391233EB" w14:textId="5E5C3D93" w:rsidR="007639FD" w:rsidRDefault="00B57FD1">
      <w:pPr>
        <w:pStyle w:val="Corpotesto"/>
        <w:ind w:left="212"/>
        <w:jc w:val="both"/>
      </w:pPr>
      <w:r>
        <w:t xml:space="preserve">sezione relativa alle comunicazioni per la </w:t>
      </w:r>
      <w:proofErr w:type="spellStart"/>
      <w:r>
        <w:t>Rdo</w:t>
      </w:r>
      <w:proofErr w:type="spellEnd"/>
      <w:r>
        <w:t>, due giorni prima della seduta.</w:t>
      </w:r>
    </w:p>
    <w:p w14:paraId="0A5E9F1B" w14:textId="77777777" w:rsidR="007639FD" w:rsidRDefault="007639FD">
      <w:pPr>
        <w:pStyle w:val="Corpotesto"/>
        <w:spacing w:before="11"/>
        <w:rPr>
          <w:sz w:val="23"/>
        </w:rPr>
      </w:pPr>
    </w:p>
    <w:p w14:paraId="6B0A9564" w14:textId="77777777" w:rsidR="007639FD" w:rsidRDefault="00B57FD1">
      <w:pPr>
        <w:ind w:left="212" w:right="110"/>
        <w:jc w:val="both"/>
        <w:rPr>
          <w:sz w:val="24"/>
        </w:rPr>
      </w:pPr>
      <w:r>
        <w:rPr>
          <w:b/>
          <w:sz w:val="24"/>
        </w:rPr>
        <w:t xml:space="preserve">Persone ammesse alla procedura di apertura delle offerte: </w:t>
      </w:r>
      <w:r>
        <w:rPr>
          <w:sz w:val="24"/>
        </w:rPr>
        <w:t>legali rappresentanti dei concorrenti ovvero i soggetti, uno per concorrente, muniti di procura o delega scritta e di documento d’identità valido.</w:t>
      </w:r>
    </w:p>
    <w:p w14:paraId="1011FB37" w14:textId="77777777" w:rsidR="007639FD" w:rsidRDefault="007639FD">
      <w:pPr>
        <w:pStyle w:val="Corpotesto"/>
        <w:spacing w:before="11"/>
        <w:rPr>
          <w:sz w:val="23"/>
        </w:rPr>
      </w:pPr>
    </w:p>
    <w:p w14:paraId="1CDF3763" w14:textId="77777777" w:rsidR="007639FD" w:rsidRDefault="00B57FD1">
      <w:pPr>
        <w:pStyle w:val="Titolo1"/>
      </w:pPr>
      <w:r>
        <w:t>CAUZIONI</w:t>
      </w:r>
    </w:p>
    <w:p w14:paraId="3A5C929A" w14:textId="77777777" w:rsidR="007639FD" w:rsidRDefault="00B57FD1">
      <w:pPr>
        <w:pStyle w:val="Corpotesto"/>
        <w:ind w:left="212" w:right="110"/>
        <w:jc w:val="both"/>
      </w:pPr>
      <w:r>
        <w:t>Non sono richieste cauzioni definitive ai sensi dell’art. 103, comma 11, del decreto legislativo 18 aprile 2016, n. 50; il tesoriere in dipendenza del servizio è esonerato dal prestare cauzione ma risponde delle obbligazioni assunte con tutto il patrimonio.</w:t>
      </w:r>
    </w:p>
    <w:p w14:paraId="0C70FC49" w14:textId="77777777" w:rsidR="007639FD" w:rsidRDefault="007639FD">
      <w:pPr>
        <w:pStyle w:val="Corpotesto"/>
      </w:pPr>
    </w:p>
    <w:p w14:paraId="658B23EE" w14:textId="77777777" w:rsidR="007639FD" w:rsidRDefault="00B57FD1">
      <w:pPr>
        <w:pStyle w:val="Titolo1"/>
      </w:pPr>
      <w:r>
        <w:t>CRITERIO PER L’AGGIUDICAZIONE DELL’APPALTO</w:t>
      </w:r>
    </w:p>
    <w:p w14:paraId="25EE5022" w14:textId="77777777" w:rsidR="007639FD" w:rsidRDefault="00B57FD1">
      <w:pPr>
        <w:pStyle w:val="Corpotesto"/>
        <w:ind w:left="212" w:right="119"/>
        <w:jc w:val="both"/>
      </w:pPr>
      <w:r>
        <w:t>L’aggiudicazione avverrà secondo il criterio dell’offerta economicamente più vantaggiosa ai sensi dell’art, 95, comma 2, del decreto legislativo 18 aprile 2016, n. 50, secondo i criteri di valutazione indicati nel disciplinare di</w:t>
      </w:r>
      <w:r>
        <w:rPr>
          <w:spacing w:val="-10"/>
        </w:rPr>
        <w:t xml:space="preserve"> </w:t>
      </w:r>
      <w:r>
        <w:t>gara.</w:t>
      </w:r>
    </w:p>
    <w:p w14:paraId="4284E6B1" w14:textId="77777777" w:rsidR="007639FD" w:rsidRDefault="007639FD">
      <w:pPr>
        <w:pStyle w:val="Corpotesto"/>
        <w:spacing w:before="11"/>
        <w:rPr>
          <w:sz w:val="23"/>
        </w:rPr>
      </w:pPr>
    </w:p>
    <w:p w14:paraId="7F92F2EF" w14:textId="77777777" w:rsidR="007639FD" w:rsidRDefault="00B57FD1">
      <w:pPr>
        <w:pStyle w:val="Titolo1"/>
      </w:pPr>
      <w:r>
        <w:t>UNICA OFFERTA VALIDA</w:t>
      </w:r>
    </w:p>
    <w:p w14:paraId="437EA479" w14:textId="77777777" w:rsidR="007639FD" w:rsidRDefault="00B57FD1">
      <w:pPr>
        <w:pStyle w:val="Corpotesto"/>
        <w:ind w:left="212" w:right="116"/>
        <w:jc w:val="both"/>
      </w:pPr>
      <w:r>
        <w:t>L’Amministrazione si riserva la facoltà di procedere all’aggiudicazione anche in caso di una sola offerta pervenuta, purché valida e previa valutazione della congruità della stessa, tenuto conto della natura del servizio e del suo</w:t>
      </w:r>
      <w:r>
        <w:rPr>
          <w:spacing w:val="-6"/>
        </w:rPr>
        <w:t xml:space="preserve"> </w:t>
      </w:r>
      <w:r>
        <w:t>prezzo.</w:t>
      </w:r>
    </w:p>
    <w:p w14:paraId="6C78944A" w14:textId="77777777" w:rsidR="007639FD" w:rsidRDefault="007639FD">
      <w:pPr>
        <w:pStyle w:val="Corpotesto"/>
        <w:spacing w:before="11"/>
        <w:rPr>
          <w:sz w:val="23"/>
        </w:rPr>
      </w:pPr>
    </w:p>
    <w:p w14:paraId="68DDCF05" w14:textId="77777777" w:rsidR="007639FD" w:rsidRDefault="00B57FD1">
      <w:pPr>
        <w:pStyle w:val="Titolo1"/>
      </w:pPr>
      <w:r>
        <w:t>ALTRE INFORMAZIONI:</w:t>
      </w:r>
    </w:p>
    <w:p w14:paraId="205BE1A3" w14:textId="77777777" w:rsidR="007639FD" w:rsidRDefault="00B57FD1">
      <w:pPr>
        <w:ind w:left="212"/>
        <w:jc w:val="both"/>
        <w:rPr>
          <w:sz w:val="24"/>
        </w:rPr>
      </w:pPr>
      <w:r>
        <w:rPr>
          <w:b/>
          <w:sz w:val="24"/>
        </w:rPr>
        <w:t xml:space="preserve">Ambito normativo: </w:t>
      </w:r>
      <w:r>
        <w:rPr>
          <w:sz w:val="24"/>
        </w:rPr>
        <w:t xml:space="preserve">il servizio è soggetto agli articoli 3, 30 e 60 del </w:t>
      </w:r>
      <w:proofErr w:type="spellStart"/>
      <w:r>
        <w:rPr>
          <w:sz w:val="24"/>
        </w:rPr>
        <w:t>D.Lgs.</w:t>
      </w:r>
      <w:proofErr w:type="spellEnd"/>
      <w:r>
        <w:rPr>
          <w:sz w:val="24"/>
        </w:rPr>
        <w:t xml:space="preserve"> 50/2016.</w:t>
      </w:r>
    </w:p>
    <w:p w14:paraId="7FEBF67D" w14:textId="77777777" w:rsidR="007639FD" w:rsidRDefault="007639FD">
      <w:pPr>
        <w:pStyle w:val="Corpotesto"/>
      </w:pPr>
    </w:p>
    <w:p w14:paraId="1A5C162B" w14:textId="77777777" w:rsidR="007639FD" w:rsidRDefault="00B57FD1">
      <w:pPr>
        <w:ind w:left="212" w:right="114"/>
        <w:jc w:val="both"/>
        <w:rPr>
          <w:sz w:val="24"/>
        </w:rPr>
      </w:pPr>
      <w:r>
        <w:rPr>
          <w:b/>
          <w:sz w:val="24"/>
        </w:rPr>
        <w:t>Organismo responsabile delle procedure di ricorso</w:t>
      </w:r>
      <w:r>
        <w:rPr>
          <w:sz w:val="24"/>
        </w:rPr>
        <w:t>: Tribunale Amministrativo Regionale (TAR) della Campania.</w:t>
      </w:r>
    </w:p>
    <w:p w14:paraId="59CB33BB" w14:textId="77777777" w:rsidR="007639FD" w:rsidRDefault="007639FD">
      <w:pPr>
        <w:pStyle w:val="Corpotesto"/>
        <w:spacing w:before="11"/>
        <w:rPr>
          <w:sz w:val="23"/>
        </w:rPr>
      </w:pPr>
    </w:p>
    <w:p w14:paraId="638C6B0B" w14:textId="74D53D9C" w:rsidR="007639FD" w:rsidRDefault="00B57FD1">
      <w:pPr>
        <w:pStyle w:val="Corpotesto"/>
        <w:ind w:left="212" w:right="109"/>
        <w:jc w:val="both"/>
      </w:pPr>
      <w:r>
        <w:rPr>
          <w:b/>
        </w:rPr>
        <w:t xml:space="preserve">Responsabile del procedimento: </w:t>
      </w:r>
      <w:r>
        <w:t xml:space="preserve">il responsabile del procedimento (RUP) è </w:t>
      </w:r>
      <w:r w:rsidR="004B43DA">
        <w:t>Giancarlo Macchia</w:t>
      </w:r>
      <w:r>
        <w:t xml:space="preserve">, Responsabile </w:t>
      </w:r>
      <w:r w:rsidR="004B43DA">
        <w:t>dell’Area Economico-Finanziaria</w:t>
      </w:r>
      <w:r>
        <w:t xml:space="preserve"> del Comune di </w:t>
      </w:r>
      <w:r w:rsidR="00BE0ED0">
        <w:t>Valva</w:t>
      </w:r>
      <w:r>
        <w:t xml:space="preserve"> - Tel.</w:t>
      </w:r>
      <w:r>
        <w:rPr>
          <w:spacing w:val="-3"/>
        </w:rPr>
        <w:t xml:space="preserve"> </w:t>
      </w:r>
      <w:r>
        <w:t>0828-</w:t>
      </w:r>
      <w:r w:rsidR="004B43DA">
        <w:t>796001</w:t>
      </w:r>
      <w:r>
        <w:t>.</w:t>
      </w:r>
    </w:p>
    <w:p w14:paraId="1CF3643B" w14:textId="77777777" w:rsidR="007639FD" w:rsidRDefault="007639FD">
      <w:pPr>
        <w:pStyle w:val="Corpotesto"/>
        <w:rPr>
          <w:sz w:val="26"/>
        </w:rPr>
      </w:pPr>
    </w:p>
    <w:p w14:paraId="4059001A" w14:textId="77777777" w:rsidR="007639FD" w:rsidRDefault="007639FD">
      <w:pPr>
        <w:pStyle w:val="Corpotesto"/>
        <w:rPr>
          <w:sz w:val="22"/>
        </w:rPr>
      </w:pPr>
    </w:p>
    <w:p w14:paraId="3165C907" w14:textId="77777777" w:rsidR="007639FD" w:rsidRDefault="00B57FD1">
      <w:pPr>
        <w:pStyle w:val="Corpotesto"/>
        <w:ind w:left="3751"/>
      </w:pPr>
      <w:r>
        <w:t>IL RESPONSABILE DELL’AREA</w:t>
      </w:r>
    </w:p>
    <w:p w14:paraId="22AD902C" w14:textId="380A52C5" w:rsidR="004B43DA" w:rsidRDefault="004B43DA">
      <w:pPr>
        <w:pStyle w:val="Corpotesto"/>
        <w:ind w:left="4147" w:right="2299" w:hanging="600"/>
      </w:pPr>
      <w:r>
        <w:t xml:space="preserve">      ECONOMICO-FINANZIARIA</w:t>
      </w:r>
    </w:p>
    <w:p w14:paraId="28DDD461" w14:textId="7CA03550" w:rsidR="007639FD" w:rsidRDefault="004B43DA">
      <w:pPr>
        <w:pStyle w:val="Corpotesto"/>
        <w:ind w:left="4147" w:right="2299" w:hanging="600"/>
      </w:pPr>
      <w:r>
        <w:t xml:space="preserve">   </w:t>
      </w:r>
      <w:r w:rsidR="00B57FD1">
        <w:t xml:space="preserve"> </w:t>
      </w:r>
      <w:r>
        <w:t xml:space="preserve">       GIANCARLO MACCHIA</w:t>
      </w:r>
    </w:p>
    <w:p w14:paraId="612967FA" w14:textId="77777777" w:rsidR="007639FD" w:rsidRDefault="00B57FD1">
      <w:pPr>
        <w:spacing w:line="273" w:lineRule="exact"/>
        <w:ind w:left="2679"/>
        <w:rPr>
          <w:i/>
          <w:sz w:val="24"/>
        </w:rPr>
      </w:pPr>
      <w:r>
        <w:rPr>
          <w:i/>
          <w:sz w:val="24"/>
        </w:rPr>
        <w:t xml:space="preserve">(firma autografa omessa ai sensi art.3 del </w:t>
      </w:r>
      <w:proofErr w:type="spellStart"/>
      <w:r>
        <w:rPr>
          <w:i/>
          <w:sz w:val="24"/>
        </w:rPr>
        <w:t>D.Lvo</w:t>
      </w:r>
      <w:proofErr w:type="spellEnd"/>
      <w:r>
        <w:rPr>
          <w:i/>
          <w:sz w:val="24"/>
        </w:rPr>
        <w:t xml:space="preserve"> 39/93)</w:t>
      </w:r>
    </w:p>
    <w:sectPr w:rsidR="007639FD">
      <w:pgSz w:w="11900" w:h="16840"/>
      <w:pgMar w:top="1340" w:right="102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B7FA6"/>
    <w:multiLevelType w:val="hybridMultilevel"/>
    <w:tmpl w:val="C2F0EDE8"/>
    <w:lvl w:ilvl="0" w:tplc="8C1C743E">
      <w:numFmt w:val="bullet"/>
      <w:lvlText w:val="-"/>
      <w:lvlJc w:val="left"/>
      <w:pPr>
        <w:ind w:left="932" w:hanging="348"/>
      </w:pPr>
      <w:rPr>
        <w:rFonts w:ascii="Georgia" w:eastAsia="Georgia" w:hAnsi="Georgia" w:cs="Georgia" w:hint="default"/>
        <w:spacing w:val="-33"/>
        <w:w w:val="100"/>
        <w:sz w:val="24"/>
        <w:szCs w:val="24"/>
        <w:lang w:val="it-IT" w:eastAsia="en-US" w:bidi="ar-SA"/>
      </w:rPr>
    </w:lvl>
    <w:lvl w:ilvl="1" w:tplc="0C7AE71A">
      <w:numFmt w:val="bullet"/>
      <w:lvlText w:val="•"/>
      <w:lvlJc w:val="left"/>
      <w:pPr>
        <w:ind w:left="1842" w:hanging="348"/>
      </w:pPr>
      <w:rPr>
        <w:rFonts w:hint="default"/>
        <w:lang w:val="it-IT" w:eastAsia="en-US" w:bidi="ar-SA"/>
      </w:rPr>
    </w:lvl>
    <w:lvl w:ilvl="2" w:tplc="9062A69A">
      <w:numFmt w:val="bullet"/>
      <w:lvlText w:val="•"/>
      <w:lvlJc w:val="left"/>
      <w:pPr>
        <w:ind w:left="2744" w:hanging="348"/>
      </w:pPr>
      <w:rPr>
        <w:rFonts w:hint="default"/>
        <w:lang w:val="it-IT" w:eastAsia="en-US" w:bidi="ar-SA"/>
      </w:rPr>
    </w:lvl>
    <w:lvl w:ilvl="3" w:tplc="F5148F7C">
      <w:numFmt w:val="bullet"/>
      <w:lvlText w:val="•"/>
      <w:lvlJc w:val="left"/>
      <w:pPr>
        <w:ind w:left="3646" w:hanging="348"/>
      </w:pPr>
      <w:rPr>
        <w:rFonts w:hint="default"/>
        <w:lang w:val="it-IT" w:eastAsia="en-US" w:bidi="ar-SA"/>
      </w:rPr>
    </w:lvl>
    <w:lvl w:ilvl="4" w:tplc="11121AF2">
      <w:numFmt w:val="bullet"/>
      <w:lvlText w:val="•"/>
      <w:lvlJc w:val="left"/>
      <w:pPr>
        <w:ind w:left="4548" w:hanging="348"/>
      </w:pPr>
      <w:rPr>
        <w:rFonts w:hint="default"/>
        <w:lang w:val="it-IT" w:eastAsia="en-US" w:bidi="ar-SA"/>
      </w:rPr>
    </w:lvl>
    <w:lvl w:ilvl="5" w:tplc="3AF8AC90">
      <w:numFmt w:val="bullet"/>
      <w:lvlText w:val="•"/>
      <w:lvlJc w:val="left"/>
      <w:pPr>
        <w:ind w:left="5450" w:hanging="348"/>
      </w:pPr>
      <w:rPr>
        <w:rFonts w:hint="default"/>
        <w:lang w:val="it-IT" w:eastAsia="en-US" w:bidi="ar-SA"/>
      </w:rPr>
    </w:lvl>
    <w:lvl w:ilvl="6" w:tplc="B122E27E">
      <w:numFmt w:val="bullet"/>
      <w:lvlText w:val="•"/>
      <w:lvlJc w:val="left"/>
      <w:pPr>
        <w:ind w:left="6352" w:hanging="348"/>
      </w:pPr>
      <w:rPr>
        <w:rFonts w:hint="default"/>
        <w:lang w:val="it-IT" w:eastAsia="en-US" w:bidi="ar-SA"/>
      </w:rPr>
    </w:lvl>
    <w:lvl w:ilvl="7" w:tplc="B1E2DE74">
      <w:numFmt w:val="bullet"/>
      <w:lvlText w:val="•"/>
      <w:lvlJc w:val="left"/>
      <w:pPr>
        <w:ind w:left="7254" w:hanging="348"/>
      </w:pPr>
      <w:rPr>
        <w:rFonts w:hint="default"/>
        <w:lang w:val="it-IT" w:eastAsia="en-US" w:bidi="ar-SA"/>
      </w:rPr>
    </w:lvl>
    <w:lvl w:ilvl="8" w:tplc="CD1AF3D6">
      <w:numFmt w:val="bullet"/>
      <w:lvlText w:val="•"/>
      <w:lvlJc w:val="left"/>
      <w:pPr>
        <w:ind w:left="8156" w:hanging="348"/>
      </w:pPr>
      <w:rPr>
        <w:rFonts w:hint="default"/>
        <w:lang w:val="it-IT" w:eastAsia="en-US" w:bidi="ar-SA"/>
      </w:rPr>
    </w:lvl>
  </w:abstractNum>
  <w:abstractNum w:abstractNumId="1">
    <w:nsid w:val="43A85315"/>
    <w:multiLevelType w:val="hybridMultilevel"/>
    <w:tmpl w:val="46268528"/>
    <w:lvl w:ilvl="0" w:tplc="D5800876">
      <w:start w:val="1"/>
      <w:numFmt w:val="decimal"/>
      <w:lvlText w:val="%1)"/>
      <w:lvlJc w:val="left"/>
      <w:pPr>
        <w:ind w:left="212" w:hanging="293"/>
        <w:jc w:val="left"/>
      </w:pPr>
      <w:rPr>
        <w:rFonts w:ascii="Arial" w:eastAsia="Arial" w:hAnsi="Arial" w:cs="Arial" w:hint="default"/>
        <w:b/>
        <w:bCs/>
        <w:w w:val="100"/>
        <w:sz w:val="24"/>
        <w:szCs w:val="24"/>
        <w:lang w:val="it-IT" w:eastAsia="en-US" w:bidi="ar-SA"/>
      </w:rPr>
    </w:lvl>
    <w:lvl w:ilvl="1" w:tplc="E0CEF92A">
      <w:numFmt w:val="bullet"/>
      <w:lvlText w:val="•"/>
      <w:lvlJc w:val="left"/>
      <w:pPr>
        <w:ind w:left="1194" w:hanging="293"/>
      </w:pPr>
      <w:rPr>
        <w:rFonts w:hint="default"/>
        <w:lang w:val="it-IT" w:eastAsia="en-US" w:bidi="ar-SA"/>
      </w:rPr>
    </w:lvl>
    <w:lvl w:ilvl="2" w:tplc="49B04C56">
      <w:numFmt w:val="bullet"/>
      <w:lvlText w:val="•"/>
      <w:lvlJc w:val="left"/>
      <w:pPr>
        <w:ind w:left="2168" w:hanging="293"/>
      </w:pPr>
      <w:rPr>
        <w:rFonts w:hint="default"/>
        <w:lang w:val="it-IT" w:eastAsia="en-US" w:bidi="ar-SA"/>
      </w:rPr>
    </w:lvl>
    <w:lvl w:ilvl="3" w:tplc="DE9E0860">
      <w:numFmt w:val="bullet"/>
      <w:lvlText w:val="•"/>
      <w:lvlJc w:val="left"/>
      <w:pPr>
        <w:ind w:left="3142" w:hanging="293"/>
      </w:pPr>
      <w:rPr>
        <w:rFonts w:hint="default"/>
        <w:lang w:val="it-IT" w:eastAsia="en-US" w:bidi="ar-SA"/>
      </w:rPr>
    </w:lvl>
    <w:lvl w:ilvl="4" w:tplc="C9E290CE">
      <w:numFmt w:val="bullet"/>
      <w:lvlText w:val="•"/>
      <w:lvlJc w:val="left"/>
      <w:pPr>
        <w:ind w:left="4116" w:hanging="293"/>
      </w:pPr>
      <w:rPr>
        <w:rFonts w:hint="default"/>
        <w:lang w:val="it-IT" w:eastAsia="en-US" w:bidi="ar-SA"/>
      </w:rPr>
    </w:lvl>
    <w:lvl w:ilvl="5" w:tplc="BFC45300">
      <w:numFmt w:val="bullet"/>
      <w:lvlText w:val="•"/>
      <w:lvlJc w:val="left"/>
      <w:pPr>
        <w:ind w:left="5090" w:hanging="293"/>
      </w:pPr>
      <w:rPr>
        <w:rFonts w:hint="default"/>
        <w:lang w:val="it-IT" w:eastAsia="en-US" w:bidi="ar-SA"/>
      </w:rPr>
    </w:lvl>
    <w:lvl w:ilvl="6" w:tplc="B5669A0E">
      <w:numFmt w:val="bullet"/>
      <w:lvlText w:val="•"/>
      <w:lvlJc w:val="left"/>
      <w:pPr>
        <w:ind w:left="6064" w:hanging="293"/>
      </w:pPr>
      <w:rPr>
        <w:rFonts w:hint="default"/>
        <w:lang w:val="it-IT" w:eastAsia="en-US" w:bidi="ar-SA"/>
      </w:rPr>
    </w:lvl>
    <w:lvl w:ilvl="7" w:tplc="98C07FCA">
      <w:numFmt w:val="bullet"/>
      <w:lvlText w:val="•"/>
      <w:lvlJc w:val="left"/>
      <w:pPr>
        <w:ind w:left="7038" w:hanging="293"/>
      </w:pPr>
      <w:rPr>
        <w:rFonts w:hint="default"/>
        <w:lang w:val="it-IT" w:eastAsia="en-US" w:bidi="ar-SA"/>
      </w:rPr>
    </w:lvl>
    <w:lvl w:ilvl="8" w:tplc="0DA6FA90">
      <w:numFmt w:val="bullet"/>
      <w:lvlText w:val="•"/>
      <w:lvlJc w:val="left"/>
      <w:pPr>
        <w:ind w:left="8012" w:hanging="293"/>
      </w:pPr>
      <w:rPr>
        <w:rFonts w:hint="default"/>
        <w:lang w:val="it-IT" w:eastAsia="en-US" w:bidi="ar-SA"/>
      </w:rPr>
    </w:lvl>
  </w:abstractNum>
  <w:abstractNum w:abstractNumId="2">
    <w:nsid w:val="75465DB9"/>
    <w:multiLevelType w:val="hybridMultilevel"/>
    <w:tmpl w:val="B692A32A"/>
    <w:lvl w:ilvl="0" w:tplc="1CB6F7DE">
      <w:start w:val="4"/>
      <w:numFmt w:val="decimal"/>
      <w:lvlText w:val="%1)"/>
      <w:lvlJc w:val="left"/>
      <w:pPr>
        <w:ind w:left="212" w:hanging="305"/>
        <w:jc w:val="left"/>
      </w:pPr>
      <w:rPr>
        <w:rFonts w:ascii="Arial" w:eastAsia="Arial" w:hAnsi="Arial" w:cs="Arial" w:hint="default"/>
        <w:b/>
        <w:bCs/>
        <w:w w:val="100"/>
        <w:sz w:val="24"/>
        <w:szCs w:val="24"/>
        <w:lang w:val="it-IT" w:eastAsia="en-US" w:bidi="ar-SA"/>
      </w:rPr>
    </w:lvl>
    <w:lvl w:ilvl="1" w:tplc="A202BF0A">
      <w:numFmt w:val="bullet"/>
      <w:lvlText w:val="•"/>
      <w:lvlJc w:val="left"/>
      <w:pPr>
        <w:ind w:left="1194" w:hanging="305"/>
      </w:pPr>
      <w:rPr>
        <w:rFonts w:hint="default"/>
        <w:lang w:val="it-IT" w:eastAsia="en-US" w:bidi="ar-SA"/>
      </w:rPr>
    </w:lvl>
    <w:lvl w:ilvl="2" w:tplc="68445BCE">
      <w:numFmt w:val="bullet"/>
      <w:lvlText w:val="•"/>
      <w:lvlJc w:val="left"/>
      <w:pPr>
        <w:ind w:left="2168" w:hanging="305"/>
      </w:pPr>
      <w:rPr>
        <w:rFonts w:hint="default"/>
        <w:lang w:val="it-IT" w:eastAsia="en-US" w:bidi="ar-SA"/>
      </w:rPr>
    </w:lvl>
    <w:lvl w:ilvl="3" w:tplc="64A0A4CC">
      <w:numFmt w:val="bullet"/>
      <w:lvlText w:val="•"/>
      <w:lvlJc w:val="left"/>
      <w:pPr>
        <w:ind w:left="3142" w:hanging="305"/>
      </w:pPr>
      <w:rPr>
        <w:rFonts w:hint="default"/>
        <w:lang w:val="it-IT" w:eastAsia="en-US" w:bidi="ar-SA"/>
      </w:rPr>
    </w:lvl>
    <w:lvl w:ilvl="4" w:tplc="BD2A9DFE">
      <w:numFmt w:val="bullet"/>
      <w:lvlText w:val="•"/>
      <w:lvlJc w:val="left"/>
      <w:pPr>
        <w:ind w:left="4116" w:hanging="305"/>
      </w:pPr>
      <w:rPr>
        <w:rFonts w:hint="default"/>
        <w:lang w:val="it-IT" w:eastAsia="en-US" w:bidi="ar-SA"/>
      </w:rPr>
    </w:lvl>
    <w:lvl w:ilvl="5" w:tplc="8B92FA04">
      <w:numFmt w:val="bullet"/>
      <w:lvlText w:val="•"/>
      <w:lvlJc w:val="left"/>
      <w:pPr>
        <w:ind w:left="5090" w:hanging="305"/>
      </w:pPr>
      <w:rPr>
        <w:rFonts w:hint="default"/>
        <w:lang w:val="it-IT" w:eastAsia="en-US" w:bidi="ar-SA"/>
      </w:rPr>
    </w:lvl>
    <w:lvl w:ilvl="6" w:tplc="23C0F0FA">
      <w:numFmt w:val="bullet"/>
      <w:lvlText w:val="•"/>
      <w:lvlJc w:val="left"/>
      <w:pPr>
        <w:ind w:left="6064" w:hanging="305"/>
      </w:pPr>
      <w:rPr>
        <w:rFonts w:hint="default"/>
        <w:lang w:val="it-IT" w:eastAsia="en-US" w:bidi="ar-SA"/>
      </w:rPr>
    </w:lvl>
    <w:lvl w:ilvl="7" w:tplc="46A82704">
      <w:numFmt w:val="bullet"/>
      <w:lvlText w:val="•"/>
      <w:lvlJc w:val="left"/>
      <w:pPr>
        <w:ind w:left="7038" w:hanging="305"/>
      </w:pPr>
      <w:rPr>
        <w:rFonts w:hint="default"/>
        <w:lang w:val="it-IT" w:eastAsia="en-US" w:bidi="ar-SA"/>
      </w:rPr>
    </w:lvl>
    <w:lvl w:ilvl="8" w:tplc="2F2AE5E4">
      <w:numFmt w:val="bullet"/>
      <w:lvlText w:val="•"/>
      <w:lvlJc w:val="left"/>
      <w:pPr>
        <w:ind w:left="8012" w:hanging="305"/>
      </w:pPr>
      <w:rPr>
        <w:rFonts w:hint="default"/>
        <w:lang w:val="it-IT"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9FD"/>
    <w:rsid w:val="00002BFA"/>
    <w:rsid w:val="000F58D5"/>
    <w:rsid w:val="00165330"/>
    <w:rsid w:val="001B0BDC"/>
    <w:rsid w:val="004B43DA"/>
    <w:rsid w:val="006226AC"/>
    <w:rsid w:val="007639FD"/>
    <w:rsid w:val="007C2D59"/>
    <w:rsid w:val="00B57FD1"/>
    <w:rsid w:val="00BE0ED0"/>
    <w:rsid w:val="00C904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49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ind w:left="21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BE0ED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0ED0"/>
    <w:rPr>
      <w:rFonts w:ascii="Tahoma" w:eastAsia="Arial" w:hAnsi="Tahoma" w:cs="Tahoma"/>
      <w:sz w:val="16"/>
      <w:szCs w:val="16"/>
      <w:lang w:val="it-IT"/>
    </w:rPr>
  </w:style>
  <w:style w:type="character" w:styleId="Collegamentoipertestuale">
    <w:name w:val="Hyperlink"/>
    <w:basedOn w:val="Carpredefinitoparagrafo"/>
    <w:uiPriority w:val="99"/>
    <w:unhideWhenUsed/>
    <w:rsid w:val="001B0B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ind w:left="21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BE0ED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0ED0"/>
    <w:rPr>
      <w:rFonts w:ascii="Tahoma" w:eastAsia="Arial" w:hAnsi="Tahoma" w:cs="Tahoma"/>
      <w:sz w:val="16"/>
      <w:szCs w:val="16"/>
      <w:lang w:val="it-IT"/>
    </w:rPr>
  </w:style>
  <w:style w:type="character" w:styleId="Collegamentoipertestuale">
    <w:name w:val="Hyperlink"/>
    <w:basedOn w:val="Carpredefinitoparagrafo"/>
    <w:uiPriority w:val="99"/>
    <w:unhideWhenUsed/>
    <w:rsid w:val="001B0B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ragioneria.laviano@asmepec.it" TargetMode="External"/><Relationship Id="rId3" Type="http://schemas.microsoft.com/office/2007/relationships/stylesWithEffects" Target="stylesWithEffects.xml"/><Relationship Id="rId7" Type="http://schemas.openxmlformats.org/officeDocument/2006/relationships/hyperlink" Target="mailto:ragioneria.laviano@asme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mune.valva.s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1068</Words>
  <Characters>6089</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All A Bando Di Gara.pdf</vt:lpstr>
    </vt:vector>
  </TitlesOfParts>
  <Company/>
  <LinksUpToDate>false</LinksUpToDate>
  <CharactersWithSpaces>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All A Bando Di Gara.pdf</dc:title>
  <cp:lastModifiedBy>Ragioneria 2</cp:lastModifiedBy>
  <cp:revision>10</cp:revision>
  <dcterms:created xsi:type="dcterms:W3CDTF">2022-05-17T09:31:00Z</dcterms:created>
  <dcterms:modified xsi:type="dcterms:W3CDTF">2022-05-24T10:37:00Z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2022-05-17T00:00:00Z</vt:filetime>
  </property>
  <property fmtid="{D5CDD505-2E9C-101B-9397-08002B2CF9AE}" pid="3" name="Creator">
    <vt:lpwstr>Anteprima</vt:lpwstr>
  </property>
  <property fmtid="{D5CDD505-2E9C-101B-9397-08002B2CF9AE}" pid="4" name="LastSaved">
    <vt:filetime>2022-05-17T00:00:00Z</vt:filetime>
  </property>
</Properties>
</file>